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AA872" w14:textId="2F697A10" w:rsidR="004E214E" w:rsidRPr="004E214E" w:rsidRDefault="004E214E" w:rsidP="004E214E">
      <w:pPr>
        <w:rPr>
          <w:rFonts w:ascii="Calibri" w:hAnsi="Calibri" w:cs="Arial"/>
          <w:b/>
          <w:sz w:val="22"/>
          <w:szCs w:val="22"/>
        </w:rPr>
      </w:pPr>
      <w:r w:rsidRPr="004E214E">
        <w:rPr>
          <w:rFonts w:ascii="Calibri" w:hAnsi="Calibri" w:cs="Arial"/>
          <w:b/>
          <w:sz w:val="22"/>
          <w:szCs w:val="22"/>
        </w:rPr>
        <w:t>Family violence: A women’s health issue</w:t>
      </w:r>
    </w:p>
    <w:p w14:paraId="00C17CED" w14:textId="0A2459E6" w:rsidR="004E214E" w:rsidRPr="004E214E" w:rsidRDefault="004E214E" w:rsidP="004E214E">
      <w:pPr>
        <w:rPr>
          <w:rFonts w:ascii="Calibri" w:hAnsi="Calibri" w:cs="Arial"/>
          <w:b/>
          <w:sz w:val="22"/>
          <w:szCs w:val="22"/>
        </w:rPr>
      </w:pPr>
    </w:p>
    <w:p w14:paraId="5845C5C6" w14:textId="0790AC92" w:rsidR="004E214E" w:rsidRPr="004E214E" w:rsidRDefault="004E214E" w:rsidP="004E214E">
      <w:pPr>
        <w:spacing w:after="200"/>
        <w:jc w:val="both"/>
        <w:rPr>
          <w:rFonts w:ascii="Calibri" w:eastAsia="Cambria" w:hAnsi="Calibri" w:cs="Times New Roman"/>
          <w:sz w:val="22"/>
          <w:szCs w:val="22"/>
        </w:rPr>
      </w:pPr>
      <w:r w:rsidRPr="004E214E">
        <w:rPr>
          <w:rFonts w:ascii="Calibri" w:eastAsia="Cambria" w:hAnsi="Calibri" w:cs="Times New Roman"/>
          <w:sz w:val="22"/>
          <w:szCs w:val="22"/>
        </w:rPr>
        <w:t>1</w:t>
      </w:r>
      <w:r>
        <w:rPr>
          <w:rFonts w:ascii="Calibri" w:eastAsia="Cambria" w:hAnsi="Calibri" w:cs="Times New Roman"/>
          <w:sz w:val="22"/>
          <w:szCs w:val="22"/>
        </w:rPr>
        <w:t>.</w:t>
      </w:r>
      <w:r w:rsidRPr="004E214E">
        <w:rPr>
          <w:rFonts w:ascii="Calibri" w:eastAsia="Cambria" w:hAnsi="Calibri" w:cs="Times New Roman"/>
          <w:sz w:val="22"/>
          <w:szCs w:val="22"/>
        </w:rPr>
        <w:t xml:space="preserve"> </w:t>
      </w:r>
      <w:r w:rsidRPr="004E214E">
        <w:rPr>
          <w:rFonts w:ascii="Calibri" w:eastAsia="Cambria" w:hAnsi="Calibri" w:cs="Times New Roman"/>
          <w:sz w:val="22"/>
          <w:szCs w:val="22"/>
        </w:rPr>
        <w:t>Gender is a significant risk factor for harm across all forms of family violence.  Girls who are victims of violence are more likely to be re-victimised later in their lives. The effects on the health of women and children who are victims of domestic violence can be serious and long term.</w:t>
      </w:r>
    </w:p>
    <w:p w14:paraId="76610E71" w14:textId="77777777" w:rsidR="004E214E" w:rsidRDefault="004E214E" w:rsidP="004E214E">
      <w:pPr>
        <w:rPr>
          <w:rFonts w:ascii="Calibri" w:eastAsia="Cambria" w:hAnsi="Calibri" w:cs="Times New Roman"/>
          <w:sz w:val="22"/>
          <w:szCs w:val="22"/>
        </w:rPr>
      </w:pPr>
      <w:r>
        <w:rPr>
          <w:rFonts w:ascii="Calibri" w:eastAsia="Cambria" w:hAnsi="Calibri" w:cs="Times New Roman"/>
          <w:sz w:val="22"/>
          <w:szCs w:val="22"/>
        </w:rPr>
        <w:t xml:space="preserve">2. </w:t>
      </w:r>
      <w:r w:rsidRPr="004E214E">
        <w:rPr>
          <w:rFonts w:ascii="Calibri" w:eastAsia="Cambria" w:hAnsi="Calibri" w:cs="Times New Roman"/>
          <w:sz w:val="22"/>
          <w:szCs w:val="22"/>
        </w:rPr>
        <w:t>“Statistics” It’s Not OK &lt;www.areyouok.org.nz</w:t>
      </w:r>
    </w:p>
    <w:p w14:paraId="6EFDC2C2" w14:textId="77777777" w:rsidR="004E214E" w:rsidRDefault="004E214E" w:rsidP="004E214E">
      <w:pPr>
        <w:rPr>
          <w:rFonts w:ascii="Calibri" w:eastAsia="Cambria" w:hAnsi="Calibri" w:cs="Times New Roman"/>
          <w:sz w:val="22"/>
          <w:szCs w:val="22"/>
        </w:rPr>
      </w:pPr>
    </w:p>
    <w:p w14:paraId="185F150A" w14:textId="0473F153" w:rsidR="004E214E" w:rsidRPr="004E214E" w:rsidRDefault="004E214E" w:rsidP="004E214E">
      <w:pPr>
        <w:rPr>
          <w:rFonts w:ascii="Calibri" w:eastAsia="Cambria" w:hAnsi="Calibri" w:cs="Times New Roman"/>
          <w:sz w:val="22"/>
          <w:szCs w:val="22"/>
        </w:rPr>
      </w:pPr>
      <w:r>
        <w:rPr>
          <w:rFonts w:ascii="Calibri" w:eastAsia="Cambria" w:hAnsi="Calibri" w:cs="Times New Roman"/>
          <w:sz w:val="22"/>
          <w:szCs w:val="22"/>
        </w:rPr>
        <w:t xml:space="preserve">3. </w:t>
      </w:r>
      <w:r w:rsidRPr="004E214E">
        <w:rPr>
          <w:rFonts w:ascii="Calibri" w:eastAsia="Cambria" w:hAnsi="Calibri" w:cs="Times New Roman"/>
          <w:sz w:val="22"/>
          <w:szCs w:val="22"/>
        </w:rPr>
        <w:t>Kristie A Thomas, Manisha Joshi and Susan B Sorenson “‘Do you know It Feels Like to Drown?’: Strangulation as Coercive Control inIntimate Relationships” (2014) 38 PWQ 124 at 130. And Family Violence Death Review Committee Fourth Annual Report (2014) at 98</w:t>
      </w:r>
    </w:p>
    <w:p w14:paraId="29A1DBDE" w14:textId="721A31D2" w:rsidR="004E214E" w:rsidRPr="004E214E" w:rsidRDefault="004E214E" w:rsidP="004E214E">
      <w:pPr>
        <w:spacing w:after="200"/>
        <w:rPr>
          <w:rFonts w:ascii="Calibri" w:eastAsia="Cambria" w:hAnsi="Calibri" w:cs="Times New Roman"/>
          <w:sz w:val="22"/>
          <w:szCs w:val="22"/>
        </w:rPr>
      </w:pPr>
      <w:r>
        <w:rPr>
          <w:rFonts w:ascii="Calibri" w:eastAsia="Cambria" w:hAnsi="Calibri" w:cs="Times New Roman"/>
          <w:sz w:val="22"/>
          <w:szCs w:val="22"/>
        </w:rPr>
        <w:br/>
        <w:t>4. L</w:t>
      </w:r>
      <w:r w:rsidRPr="004E214E">
        <w:rPr>
          <w:rFonts w:ascii="Calibri" w:eastAsia="Cambria" w:hAnsi="Calibri" w:cs="Times New Roman"/>
          <w:sz w:val="22"/>
          <w:szCs w:val="22"/>
        </w:rPr>
        <w:t>aw Society 2016. Strangulation. The case for a new offence.  http://www.lawcom.govt.nz/</w:t>
      </w:r>
    </w:p>
    <w:p w14:paraId="32648BEA" w14:textId="0F5ACA6C" w:rsidR="004E214E" w:rsidRPr="004E214E" w:rsidRDefault="004E214E" w:rsidP="004E214E">
      <w:pPr>
        <w:spacing w:after="200"/>
        <w:rPr>
          <w:rFonts w:ascii="Calibri" w:eastAsia="Cambria" w:hAnsi="Calibri" w:cs="Times New Roman"/>
          <w:sz w:val="22"/>
          <w:szCs w:val="22"/>
        </w:rPr>
      </w:pPr>
      <w:r>
        <w:rPr>
          <w:rFonts w:ascii="Calibri" w:eastAsia="Cambria" w:hAnsi="Calibri" w:cs="Times New Roman"/>
          <w:sz w:val="22"/>
          <w:szCs w:val="22"/>
        </w:rPr>
        <w:t xml:space="preserve">5. </w:t>
      </w:r>
      <w:r w:rsidRPr="004E214E">
        <w:rPr>
          <w:rFonts w:ascii="Calibri" w:eastAsia="Cambria" w:hAnsi="Calibri" w:cs="Times New Roman"/>
          <w:sz w:val="22"/>
          <w:szCs w:val="22"/>
        </w:rPr>
        <w:t>Heather Wolfgram. WATCH Report Part I: The impact of Minnesota’s felony strangulation law (WATCH, January 2007.</w:t>
      </w:r>
    </w:p>
    <w:p w14:paraId="56586127" w14:textId="75513257" w:rsidR="004E214E" w:rsidRPr="004E214E" w:rsidRDefault="004E214E" w:rsidP="004E214E">
      <w:pPr>
        <w:rPr>
          <w:rFonts w:ascii="Calibri" w:eastAsia="Cambria" w:hAnsi="Calibri" w:cs="Times New Roman"/>
          <w:sz w:val="22"/>
          <w:szCs w:val="22"/>
        </w:rPr>
      </w:pPr>
      <w:r>
        <w:rPr>
          <w:rFonts w:ascii="Calibri" w:eastAsia="Cambria" w:hAnsi="Calibri" w:cs="Times New Roman"/>
          <w:sz w:val="22"/>
          <w:szCs w:val="22"/>
        </w:rPr>
        <w:t xml:space="preserve">6. </w:t>
      </w:r>
      <w:r w:rsidRPr="004E214E">
        <w:rPr>
          <w:rFonts w:ascii="Calibri" w:eastAsia="Cambria" w:hAnsi="Calibri" w:cs="Times New Roman"/>
          <w:sz w:val="22"/>
          <w:szCs w:val="22"/>
        </w:rPr>
        <w:t>Crimes (Domestic and Personal Violence) Act 2007 (NSW), s12</w:t>
      </w:r>
    </w:p>
    <w:p w14:paraId="39CC5C4A" w14:textId="77777777" w:rsidR="004E214E" w:rsidRPr="004E214E" w:rsidRDefault="004E214E" w:rsidP="004E214E">
      <w:pPr>
        <w:rPr>
          <w:rFonts w:ascii="Calibri" w:eastAsia="Cambria" w:hAnsi="Calibri" w:cs="Times New Roman"/>
          <w:sz w:val="22"/>
          <w:szCs w:val="22"/>
          <w:vertAlign w:val="superscript"/>
        </w:rPr>
      </w:pPr>
    </w:p>
    <w:p w14:paraId="17940A82" w14:textId="3DE2A901" w:rsidR="004E214E" w:rsidRPr="004E214E" w:rsidRDefault="004E214E" w:rsidP="004E214E">
      <w:pPr>
        <w:rPr>
          <w:rFonts w:ascii="Calibri" w:eastAsia="Cambria" w:hAnsi="Calibri" w:cs="Times New Roman"/>
          <w:sz w:val="22"/>
          <w:szCs w:val="22"/>
        </w:rPr>
      </w:pPr>
      <w:r>
        <w:rPr>
          <w:rFonts w:ascii="Calibri" w:eastAsia="Cambria" w:hAnsi="Calibri" w:cs="Times New Roman"/>
          <w:sz w:val="22"/>
          <w:szCs w:val="22"/>
        </w:rPr>
        <w:t xml:space="preserve">7. </w:t>
      </w:r>
      <w:r w:rsidRPr="004E214E">
        <w:rPr>
          <w:rFonts w:ascii="Calibri" w:eastAsia="Cambria" w:hAnsi="Calibri" w:cs="Times New Roman"/>
          <w:sz w:val="22"/>
          <w:szCs w:val="22"/>
        </w:rPr>
        <w:t>Nancy Glass and others “Non-fatal strangulation is an important risk factor for homicide of women” (2008) 35 J Emerg Med 329</w:t>
      </w:r>
    </w:p>
    <w:p w14:paraId="744FF08E" w14:textId="77777777" w:rsidR="004E214E" w:rsidRPr="004E214E" w:rsidRDefault="004E214E" w:rsidP="004E214E">
      <w:pPr>
        <w:rPr>
          <w:rFonts w:ascii="Calibri" w:eastAsia="Cambria" w:hAnsi="Calibri" w:cs="Times New Roman"/>
          <w:sz w:val="22"/>
          <w:szCs w:val="22"/>
        </w:rPr>
      </w:pPr>
    </w:p>
    <w:p w14:paraId="03DF7D52" w14:textId="591EB07A" w:rsidR="004E214E" w:rsidRPr="004E214E" w:rsidRDefault="004E214E" w:rsidP="004E214E">
      <w:pPr>
        <w:spacing w:after="200"/>
        <w:rPr>
          <w:rFonts w:ascii="Calibri" w:eastAsia="Cambria" w:hAnsi="Calibri" w:cs="Times New Roman"/>
          <w:sz w:val="22"/>
          <w:szCs w:val="22"/>
        </w:rPr>
      </w:pPr>
      <w:r>
        <w:rPr>
          <w:rFonts w:ascii="Calibri" w:eastAsia="Cambria" w:hAnsi="Calibri" w:cs="Times New Roman"/>
          <w:sz w:val="22"/>
          <w:szCs w:val="22"/>
        </w:rPr>
        <w:t xml:space="preserve">8. </w:t>
      </w:r>
      <w:r w:rsidRPr="004E214E">
        <w:rPr>
          <w:rFonts w:ascii="Calibri" w:eastAsia="Cambria" w:hAnsi="Calibri" w:cs="Times New Roman"/>
          <w:sz w:val="22"/>
          <w:szCs w:val="22"/>
        </w:rPr>
        <w:t>Gael B Strack and others “Investigation and Prosecution of Strangulation Cases” (2014) 19 Domestic Violence Report 83.</w:t>
      </w:r>
      <w:r w:rsidRPr="004E214E">
        <w:rPr>
          <w:rFonts w:ascii="Calibri" w:eastAsia="Cambria" w:hAnsi="Calibri" w:cs="Times New Roman"/>
          <w:sz w:val="22"/>
          <w:szCs w:val="22"/>
        </w:rPr>
        <w:br/>
      </w:r>
      <w:r w:rsidRPr="004E214E">
        <w:rPr>
          <w:rFonts w:ascii="Calibri" w:eastAsia="Cambria" w:hAnsi="Calibri" w:cs="Times New Roman"/>
          <w:sz w:val="22"/>
          <w:szCs w:val="22"/>
        </w:rPr>
        <w:t>And Gael B Stack, George E McClane and Dean Hawley“A review of 300 attempted strangulation cases part 1. Criminallegal issues” (2001) 21 J Emerg Med 303 at 308.</w:t>
      </w:r>
    </w:p>
    <w:p w14:paraId="3BE36662" w14:textId="71F647D0" w:rsidR="004E214E" w:rsidRPr="004E214E" w:rsidRDefault="004E214E" w:rsidP="004E214E">
      <w:pPr>
        <w:spacing w:after="200"/>
        <w:rPr>
          <w:rFonts w:ascii="Calibri" w:eastAsia="Cambria" w:hAnsi="Calibri" w:cs="Times New Roman"/>
          <w:sz w:val="22"/>
          <w:szCs w:val="22"/>
        </w:rPr>
      </w:pPr>
      <w:r>
        <w:rPr>
          <w:rFonts w:ascii="Calibri" w:eastAsia="Cambria" w:hAnsi="Calibri" w:cs="Times New Roman"/>
          <w:sz w:val="22"/>
          <w:szCs w:val="22"/>
        </w:rPr>
        <w:t xml:space="preserve">9. </w:t>
      </w:r>
      <w:r w:rsidRPr="004E214E">
        <w:rPr>
          <w:rFonts w:ascii="Calibri" w:eastAsia="Cambria" w:hAnsi="Calibri" w:cs="Times New Roman"/>
          <w:sz w:val="22"/>
          <w:szCs w:val="22"/>
        </w:rPr>
        <w:t xml:space="preserve">Thomas, Joshi and Sorenson, above n 7, at 125. and Evan Stark. Coercive Control: How Men Entrap Women in Personal Life(Oxford University Press, New York, 2007) and Thomas, Joshi and Sorenson, </w:t>
      </w:r>
    </w:p>
    <w:p w14:paraId="71C65B8E" w14:textId="08CCC413" w:rsidR="004E214E" w:rsidRPr="004E214E" w:rsidRDefault="004E214E" w:rsidP="004E214E">
      <w:pPr>
        <w:rPr>
          <w:rFonts w:ascii="Calibri" w:hAnsi="Calibri" w:cs="Arial"/>
          <w:sz w:val="22"/>
          <w:szCs w:val="22"/>
        </w:rPr>
      </w:pPr>
      <w:r w:rsidRPr="004E214E">
        <w:rPr>
          <w:rFonts w:ascii="Calibri" w:hAnsi="Calibri" w:cs="Arial"/>
          <w:sz w:val="22"/>
          <w:szCs w:val="22"/>
        </w:rPr>
        <w:t>10. Ministry of Women’s Affairs. 2007. Living at the Cutting Edge.</w:t>
      </w:r>
    </w:p>
    <w:p w14:paraId="4EC8C94A" w14:textId="77777777" w:rsidR="004E214E" w:rsidRPr="004E214E" w:rsidRDefault="004E214E" w:rsidP="004E214E">
      <w:pPr>
        <w:rPr>
          <w:rFonts w:ascii="Calibri" w:hAnsi="Calibri" w:cs="Arial"/>
          <w:b/>
          <w:sz w:val="22"/>
          <w:szCs w:val="22"/>
        </w:rPr>
      </w:pPr>
    </w:p>
    <w:p w14:paraId="3FD57957" w14:textId="77777777" w:rsidR="009A42D7" w:rsidRPr="004E214E" w:rsidRDefault="009A42D7" w:rsidP="004E214E">
      <w:pPr>
        <w:rPr>
          <w:rFonts w:ascii="Calibri" w:hAnsi="Calibri" w:cs="Arial"/>
          <w:b/>
          <w:sz w:val="22"/>
          <w:szCs w:val="22"/>
        </w:rPr>
      </w:pPr>
      <w:r w:rsidRPr="004E214E">
        <w:rPr>
          <w:rFonts w:ascii="Calibri" w:hAnsi="Calibri" w:cs="Arial"/>
          <w:b/>
          <w:sz w:val="22"/>
          <w:szCs w:val="22"/>
        </w:rPr>
        <w:t xml:space="preserve">Increased contraceptive options goal of Abortion Supervisory Committee </w:t>
      </w:r>
    </w:p>
    <w:p w14:paraId="7B9CDCB6" w14:textId="77777777" w:rsidR="00824C25" w:rsidRPr="004E214E" w:rsidRDefault="009A42D7" w:rsidP="004E214E">
      <w:pPr>
        <w:rPr>
          <w:rFonts w:ascii="Calibri" w:eastAsia="Times New Roman" w:hAnsi="Calibri" w:cs="Arial"/>
          <w:color w:val="222222"/>
          <w:sz w:val="22"/>
          <w:szCs w:val="22"/>
          <w:shd w:val="clear" w:color="auto" w:fill="FFFFFF"/>
        </w:rPr>
      </w:pPr>
      <w:r w:rsidRPr="004E214E">
        <w:rPr>
          <w:rFonts w:ascii="Calibri" w:eastAsia="Times New Roman" w:hAnsi="Calibri" w:cs="Arial"/>
          <w:color w:val="222222"/>
          <w:sz w:val="22"/>
          <w:szCs w:val="22"/>
          <w:shd w:val="clear" w:color="auto" w:fill="FFFFFF"/>
        </w:rPr>
        <w:t>1. Weisberg, Edith, Deborah Bateson, Kevin McGeechan, and Lita Mohapatra. "A three-year comparative study of continuation rates, bleeding patterns and satisfaction in Australian women using a subdermal contraceptive implant or progestogen releasing-intrauterine system." </w:t>
      </w:r>
      <w:r w:rsidRPr="004E214E">
        <w:rPr>
          <w:rFonts w:ascii="Calibri" w:eastAsia="Times New Roman" w:hAnsi="Calibri" w:cs="Arial"/>
          <w:i/>
          <w:iCs/>
          <w:color w:val="222222"/>
          <w:sz w:val="22"/>
          <w:szCs w:val="22"/>
          <w:shd w:val="clear" w:color="auto" w:fill="FFFFFF"/>
        </w:rPr>
        <w:t>The European Journal of Contraception &amp; Reproductive Health Care</w:t>
      </w:r>
      <w:r w:rsidRPr="004E214E">
        <w:rPr>
          <w:rFonts w:ascii="Calibri" w:eastAsia="Times New Roman" w:hAnsi="Calibri" w:cs="Arial"/>
          <w:color w:val="222222"/>
          <w:sz w:val="22"/>
          <w:szCs w:val="22"/>
          <w:shd w:val="clear" w:color="auto" w:fill="FFFFFF"/>
        </w:rPr>
        <w:t> 19, no. 1 (2014): 5-14.</w:t>
      </w:r>
    </w:p>
    <w:p w14:paraId="4BCC37B7" w14:textId="77777777" w:rsidR="009A42D7" w:rsidRPr="004E214E" w:rsidRDefault="009A42D7" w:rsidP="004E214E">
      <w:pPr>
        <w:rPr>
          <w:rFonts w:ascii="Calibri" w:eastAsia="Times New Roman" w:hAnsi="Calibri" w:cs="Arial"/>
          <w:color w:val="222222"/>
          <w:sz w:val="22"/>
          <w:szCs w:val="22"/>
          <w:shd w:val="clear" w:color="auto" w:fill="FFFFFF"/>
        </w:rPr>
      </w:pPr>
    </w:p>
    <w:p w14:paraId="74823C39" w14:textId="77777777" w:rsidR="009A42D7" w:rsidRPr="004E214E" w:rsidRDefault="009A42D7" w:rsidP="004E214E">
      <w:pPr>
        <w:rPr>
          <w:rFonts w:ascii="Calibri" w:eastAsia="Times New Roman" w:hAnsi="Calibri" w:cs="Arial"/>
          <w:color w:val="222222"/>
          <w:sz w:val="22"/>
          <w:szCs w:val="22"/>
          <w:shd w:val="clear" w:color="auto" w:fill="FFFFFF"/>
        </w:rPr>
      </w:pPr>
      <w:r w:rsidRPr="004E214E">
        <w:rPr>
          <w:rFonts w:ascii="Calibri" w:eastAsia="Times New Roman" w:hAnsi="Calibri" w:cs="Arial"/>
          <w:color w:val="222222"/>
          <w:sz w:val="22"/>
          <w:szCs w:val="22"/>
          <w:shd w:val="clear" w:color="auto" w:fill="FFFFFF"/>
        </w:rPr>
        <w:t xml:space="preserve">Higgins, Jenny A. "Thinking (Re) Productively Celebration Meets Caution: LARC's Boons, Potential Busts, and the Benefits of a Reproductive Justice Approach." Retrieved from: </w:t>
      </w:r>
      <w:hyperlink r:id="rId7" w:history="1">
        <w:r w:rsidRPr="004E214E">
          <w:rPr>
            <w:rStyle w:val="Hyperlink"/>
            <w:rFonts w:ascii="Calibri" w:eastAsia="Times New Roman" w:hAnsi="Calibri" w:cs="Arial"/>
            <w:sz w:val="22"/>
            <w:szCs w:val="22"/>
            <w:shd w:val="clear" w:color="auto" w:fill="FFFFFF"/>
          </w:rPr>
          <w:t>http://www.arhp.org/Publications-and-Resources/Contraception-Journal/April-2014</w:t>
        </w:r>
      </w:hyperlink>
    </w:p>
    <w:p w14:paraId="434D4141" w14:textId="77777777" w:rsidR="009A42D7" w:rsidRPr="004E214E" w:rsidRDefault="009A42D7" w:rsidP="004E214E">
      <w:pPr>
        <w:rPr>
          <w:rFonts w:ascii="Calibri" w:eastAsia="Times New Roman" w:hAnsi="Calibri" w:cs="Times New Roman"/>
          <w:sz w:val="22"/>
          <w:szCs w:val="22"/>
        </w:rPr>
      </w:pPr>
      <w:bookmarkStart w:id="0" w:name="_GoBack"/>
      <w:bookmarkEnd w:id="0"/>
    </w:p>
    <w:p w14:paraId="05CD3FD8" w14:textId="77777777" w:rsidR="009A42D7" w:rsidRPr="004E214E" w:rsidRDefault="009A42D7" w:rsidP="004E214E">
      <w:pPr>
        <w:rPr>
          <w:rFonts w:ascii="Calibri" w:hAnsi="Calibri"/>
          <w:sz w:val="22"/>
          <w:szCs w:val="22"/>
        </w:rPr>
      </w:pPr>
    </w:p>
    <w:sectPr w:rsidR="009A42D7" w:rsidRPr="004E21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2D7"/>
    <w:rsid w:val="004E214E"/>
    <w:rsid w:val="00824C25"/>
    <w:rsid w:val="009A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712A5"/>
  <w15:chartTrackingRefBased/>
  <w15:docId w15:val="{F9FB1F39-B3A7-460D-A0E2-24844822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2D7"/>
    <w:pPr>
      <w:spacing w:after="0" w:line="240" w:lineRule="auto"/>
    </w:pPr>
    <w:rPr>
      <w:rFonts w:eastAsiaTheme="minorEastAsia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2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arhp.org/Publications-and-Resources/Contraception-Journal/April-201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D6E9D241C6A4EB1873FA18BCAC865" ma:contentTypeVersion="2" ma:contentTypeDescription="Create a new document." ma:contentTypeScope="" ma:versionID="d44bbac05ba517fd7e1de1b0fa83f888">
  <xsd:schema xmlns:xsd="http://www.w3.org/2001/XMLSchema" xmlns:xs="http://www.w3.org/2001/XMLSchema" xmlns:p="http://schemas.microsoft.com/office/2006/metadata/properties" xmlns:ns2="3828dea9-4150-4cef-a095-b67854f7bd77" targetNamespace="http://schemas.microsoft.com/office/2006/metadata/properties" ma:root="true" ma:fieldsID="c0712cb8132d32a81d4c96509504ad2b" ns2:_="">
    <xsd:import namespace="3828dea9-4150-4cef-a095-b67854f7bd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8dea9-4150-4cef-a095-b67854f7bd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5CE78C-6A38-4D51-A99E-CE6767CE44A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828dea9-4150-4cef-a095-b67854f7bd77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3B9F286-E13E-4B11-80FC-C5FC07B8DD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5898C7-40AB-4BE4-A465-EFEE51731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8dea9-4150-4cef-a095-b67854f7bd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Women’s Health Coordinator</dc:creator>
  <cp:keywords/>
  <dc:description/>
  <cp:lastModifiedBy>Women’s Health Coordinator</cp:lastModifiedBy>
  <cp:revision>2</cp:revision>
  <dcterms:created xsi:type="dcterms:W3CDTF">2016-05-11T23:48:00Z</dcterms:created>
  <dcterms:modified xsi:type="dcterms:W3CDTF">2016-05-23T23:24:00Z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0x010100B15D6E9D241C6A4EB1873FA18BCAC865</vt:lpwstr>
  </property>
</Properties>
</file>